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THỎA THUẬN CỔ ĐÔNG</w:t>
      </w:r>
    </w:p>
    <w:p>
      <w:pPr>
        <w:spacing w:after="40"/>
        <w:jc w:val="center"/>
      </w:pPr>
      <w:r>
        <w:rPr>
          <w:rFonts w:ascii="Times New Roman" w:hAnsi="Times New Roman"/>
          <w:b w:val="0"/>
          <w:sz w:val="26"/>
        </w:rPr>
        <w:t>(Công ty cổ phần ..................................)</w:t>
      </w:r>
    </w:p>
    <w:p>
      <w:pPr>
        <w:spacing w:after="40"/>
        <w:jc w:val="center"/>
      </w:pPr>
      <w:r>
        <w:rPr>
          <w:rFonts w:ascii="Times New Roman" w:hAnsi="Times New Roman"/>
          <w:b w:val="0"/>
          <w:sz w:val="26"/>
        </w:rPr>
        <w:t>Số: ......../TTCĐ</w:t>
      </w:r>
    </w:p>
    <w:p/>
    <w:p>
      <w:pPr>
        <w:spacing w:after="40"/>
      </w:pPr>
      <w:r>
        <w:rPr>
          <w:rFonts w:ascii="Times New Roman" w:hAnsi="Times New Roman"/>
          <w:b w:val="0"/>
          <w:sz w:val="26"/>
        </w:rPr>
        <w:t>- Căn cứ Luật Doanh nghiệp và các văn bản hướng dẫn thi hành;</w:t>
      </w:r>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Điều lệ Công ty cổ phần ..................................;</w:t>
      </w:r>
    </w:p>
    <w:p>
      <w:pPr>
        <w:spacing w:after="40"/>
      </w:pPr>
      <w:r>
        <w:rPr>
          <w:rFonts w:ascii="Times New Roman" w:hAnsi="Times New Roman"/>
          <w:b w:val="0"/>
          <w:sz w:val="26"/>
        </w:rPr>
        <w:t>- Căn cứ sự tự nguyện thỏa thuận của các cổ đông.</w:t>
      </w:r>
    </w:p>
    <w:p/>
    <w:p>
      <w:pPr>
        <w:spacing w:after="40"/>
      </w:pPr>
      <w:r>
        <w:rPr>
          <w:rFonts w:ascii="Times New Roman" w:hAnsi="Times New Roman"/>
          <w:b w:val="0"/>
          <w:sz w:val="26"/>
        </w:rPr>
        <w:t>Hôm nay, ngày ...... tháng ...... năm ......, tại ...................................., các cổ đông gồm:</w:t>
      </w:r>
    </w:p>
    <w:p/>
    <w:p>
      <w:pPr>
        <w:spacing w:after="40"/>
      </w:pPr>
      <w:r>
        <w:rPr>
          <w:rFonts w:ascii="Times New Roman" w:hAnsi="Times New Roman"/>
          <w:b/>
          <w:sz w:val="26"/>
        </w:rPr>
        <w:t>CỔ ĐÔNG A:</w:t>
      </w:r>
    </w:p>
    <w:p>
      <w:pPr>
        <w:spacing w:after="40"/>
      </w:pPr>
      <w:r>
        <w:rPr>
          <w:rFonts w:ascii="Times New Roman" w:hAnsi="Times New Roman"/>
          <w:b w:val="0"/>
          <w:sz w:val="26"/>
        </w:rPr>
        <w:t>Họ và tên/Tên tổ chức:</w:t>
      </w:r>
    </w:p>
    <w:p>
      <w:pPr>
        <w:spacing w:after="40"/>
      </w:pPr>
      <w:r>
        <w:rPr>
          <w:rFonts w:ascii="Times New Roman" w:hAnsi="Times New Roman"/>
          <w:b w:val="0"/>
          <w:sz w:val="26"/>
        </w:rPr>
        <w:t>CCCD số/Mã số doanh nghiệp:</w:t>
      </w:r>
    </w:p>
    <w:p>
      <w:pPr>
        <w:spacing w:after="40"/>
      </w:pPr>
      <w:r>
        <w:rPr>
          <w:rFonts w:ascii="Times New Roman" w:hAnsi="Times New Roman"/>
          <w:b w:val="0"/>
          <w:sz w:val="26"/>
        </w:rPr>
        <w:t>Địa chỉ:</w:t>
      </w:r>
    </w:p>
    <w:p>
      <w:pPr>
        <w:spacing w:after="40"/>
      </w:pPr>
      <w:r>
        <w:rPr>
          <w:rFonts w:ascii="Times New Roman" w:hAnsi="Times New Roman"/>
          <w:b w:val="0"/>
          <w:sz w:val="26"/>
        </w:rPr>
        <w:t>Số cổ phần sở hữu: ........................ Tỷ lệ:</w:t>
      </w:r>
    </w:p>
    <w:p/>
    <w:p>
      <w:pPr>
        <w:spacing w:after="40"/>
      </w:pPr>
      <w:r>
        <w:rPr>
          <w:rFonts w:ascii="Times New Roman" w:hAnsi="Times New Roman"/>
          <w:b/>
          <w:sz w:val="26"/>
        </w:rPr>
        <w:t>CỔ ĐÔNG B:</w:t>
      </w:r>
    </w:p>
    <w:p>
      <w:pPr>
        <w:spacing w:after="40"/>
      </w:pPr>
      <w:r>
        <w:rPr>
          <w:rFonts w:ascii="Times New Roman" w:hAnsi="Times New Roman"/>
          <w:b w:val="0"/>
          <w:sz w:val="26"/>
        </w:rPr>
        <w:t>Họ và tên/Tên tổ chức:</w:t>
      </w:r>
    </w:p>
    <w:p>
      <w:pPr>
        <w:spacing w:after="40"/>
      </w:pPr>
      <w:r>
        <w:rPr>
          <w:rFonts w:ascii="Times New Roman" w:hAnsi="Times New Roman"/>
          <w:b w:val="0"/>
          <w:sz w:val="26"/>
        </w:rPr>
        <w:t>CCCD số/Mã số doanh nghiệp:</w:t>
      </w:r>
    </w:p>
    <w:p>
      <w:pPr>
        <w:spacing w:after="40"/>
      </w:pPr>
      <w:r>
        <w:rPr>
          <w:rFonts w:ascii="Times New Roman" w:hAnsi="Times New Roman"/>
          <w:b w:val="0"/>
          <w:sz w:val="26"/>
        </w:rPr>
        <w:t>Địa chỉ:</w:t>
      </w:r>
    </w:p>
    <w:p>
      <w:pPr>
        <w:spacing w:after="40"/>
      </w:pPr>
      <w:r>
        <w:rPr>
          <w:rFonts w:ascii="Times New Roman" w:hAnsi="Times New Roman"/>
          <w:b w:val="0"/>
          <w:sz w:val="26"/>
        </w:rPr>
        <w:t>Số cổ phần sở hữu: ........................ Tỷ lệ:</w:t>
      </w:r>
    </w:p>
    <w:p/>
    <w:p>
      <w:pPr>
        <w:spacing w:after="40"/>
      </w:pPr>
      <w:r>
        <w:rPr>
          <w:rFonts w:ascii="Times New Roman" w:hAnsi="Times New Roman"/>
          <w:b w:val="0"/>
          <w:sz w:val="26"/>
        </w:rPr>
        <w:t>(Bổ sung các cổ đông khác nếu có theo mẫu trên.)</w:t>
      </w:r>
    </w:p>
    <w:p>
      <w:pPr>
        <w:spacing w:after="40"/>
      </w:pPr>
      <w:r>
        <w:rPr>
          <w:rFonts w:ascii="Times New Roman" w:hAnsi="Times New Roman"/>
          <w:b w:val="0"/>
          <w:sz w:val="26"/>
        </w:rPr>
        <w:t>Các cổ đông thống nhất ký kết thỏa thuận cổ đông với các điều khoản sau:</w:t>
      </w:r>
    </w:p>
    <w:p/>
    <w:p>
      <w:pPr>
        <w:spacing w:after="40"/>
      </w:pPr>
      <w:r>
        <w:rPr>
          <w:rFonts w:ascii="Times New Roman" w:hAnsi="Times New Roman"/>
          <w:b/>
          <w:sz w:val="26"/>
        </w:rPr>
        <w:t>Điều 1. Tỷ lệ sở hữu cổ phần</w:t>
      </w:r>
    </w:p>
    <w:p>
      <w:pPr>
        <w:spacing w:after="40"/>
      </w:pPr>
      <w:r>
        <w:rPr>
          <w:rFonts w:ascii="Times New Roman" w:hAnsi="Times New Roman"/>
          <w:b w:val="0"/>
          <w:sz w:val="26"/>
        </w:rPr>
        <w:t>Các bên xác nhận tỷ lệ sở hữu cổ phần hiện tại và cam kết cập nhật thỏa thuận này khi có thay đổi về cơ cấu sở hữu.</w:t>
      </w:r>
    </w:p>
    <w:p/>
    <w:p>
      <w:pPr>
        <w:spacing w:after="40"/>
      </w:pPr>
      <w:r>
        <w:rPr>
          <w:rFonts w:ascii="Times New Roman" w:hAnsi="Times New Roman"/>
          <w:b/>
          <w:sz w:val="26"/>
        </w:rPr>
        <w:t>Điều 2. Quyền biểu quyết và các vấn đề cần đồng thuận</w:t>
      </w:r>
    </w:p>
    <w:p>
      <w:pPr>
        <w:spacing w:after="40"/>
      </w:pPr>
      <w:r>
        <w:rPr>
          <w:rFonts w:ascii="Times New Roman" w:hAnsi="Times New Roman"/>
          <w:b w:val="0"/>
          <w:sz w:val="26"/>
        </w:rPr>
        <w:t>2.1. Các cổ đông thực hiện quyền biểu quyết tại Đại hội đồng cổ đông theo tỷ lệ sở hữu và Điều lệ công ty.</w:t>
      </w:r>
    </w:p>
    <w:p>
      <w:pPr>
        <w:spacing w:after="40"/>
      </w:pPr>
      <w:r>
        <w:rPr>
          <w:rFonts w:ascii="Times New Roman" w:hAnsi="Times New Roman"/>
          <w:b w:val="0"/>
          <w:sz w:val="26"/>
        </w:rPr>
        <w:t>2.2. Các vấn đề quan trọng sau chỉ được thông qua khi có sự đồng thuận của các cổ đông ký thỏa thuận: thay đổi ngành nghề kinh doanh cốt lõi; tăng/giảm vốn điều lệ; phát hành thêm cổ phần; vay hoặc bảo lãnh vượt mức ...................... đồng; bán tài sản lớn; tổ chức lại, giải thể công ty.</w:t>
      </w:r>
    </w:p>
    <w:p/>
    <w:p>
      <w:pPr>
        <w:spacing w:after="40"/>
      </w:pPr>
      <w:r>
        <w:rPr>
          <w:rFonts w:ascii="Times New Roman" w:hAnsi="Times New Roman"/>
          <w:b/>
          <w:sz w:val="26"/>
        </w:rPr>
        <w:t>Điều 3. Cử người quản lý</w:t>
      </w:r>
    </w:p>
    <w:p>
      <w:pPr>
        <w:spacing w:after="40"/>
      </w:pPr>
      <w:r>
        <w:rPr>
          <w:rFonts w:ascii="Times New Roman" w:hAnsi="Times New Roman"/>
          <w:b w:val="0"/>
          <w:sz w:val="26"/>
        </w:rPr>
        <w:t>Các bên thống nhất cơ chế đề cử, ứng cử thành viên Hội đồng quản trị, Ban kiểm soát và người điều hành (Giám đốc/Tổng giám đốc) tương ứng với tỷ lệ sở hữu, bảo đảm quyền tham gia quản trị của các cổ đông.</w:t>
      </w:r>
    </w:p>
    <w:p/>
    <w:p>
      <w:pPr>
        <w:spacing w:after="40"/>
      </w:pPr>
      <w:r>
        <w:rPr>
          <w:rFonts w:ascii="Times New Roman" w:hAnsi="Times New Roman"/>
          <w:b/>
          <w:sz w:val="26"/>
        </w:rPr>
        <w:t>Điều 4. Hạn chế chuyển nhượng cổ phần</w:t>
      </w:r>
    </w:p>
    <w:p>
      <w:pPr>
        <w:spacing w:after="40"/>
      </w:pPr>
      <w:r>
        <w:rPr>
          <w:rFonts w:ascii="Times New Roman" w:hAnsi="Times New Roman"/>
          <w:b w:val="0"/>
          <w:sz w:val="26"/>
        </w:rPr>
        <w:t>4.1. Trong thời hạn ...... năm kể từ ngày ký, cổ đông không được chuyển nhượng cổ phần cho bên thứ ba nếu chưa có sự đồng ý bằng văn bản của các cổ đông còn lại, trừ trường hợp Điều lệ và pháp luật quy định khác.</w:t>
      </w:r>
    </w:p>
    <w:p>
      <w:pPr>
        <w:spacing w:after="40"/>
      </w:pPr>
      <w:r>
        <w:rPr>
          <w:rFonts w:ascii="Times New Roman" w:hAnsi="Times New Roman"/>
          <w:b w:val="0"/>
          <w:sz w:val="26"/>
        </w:rPr>
        <w:t>4.2. Mọi chuyển nhượng phải tuân thủ trình tự, thủ tục tại thỏa thuận này và Điều lệ công ty.</w:t>
      </w:r>
    </w:p>
    <w:p/>
    <w:p>
      <w:pPr>
        <w:spacing w:after="40"/>
      </w:pPr>
      <w:r>
        <w:rPr>
          <w:rFonts w:ascii="Times New Roman" w:hAnsi="Times New Roman"/>
          <w:b/>
          <w:sz w:val="26"/>
        </w:rPr>
        <w:t>Điều 5. Quyền ưu tiên mua</w:t>
      </w:r>
    </w:p>
    <w:p>
      <w:pPr>
        <w:spacing w:after="40"/>
      </w:pPr>
      <w:r>
        <w:rPr>
          <w:rFonts w:ascii="Times New Roman" w:hAnsi="Times New Roman"/>
          <w:b w:val="0"/>
          <w:sz w:val="26"/>
        </w:rPr>
        <w:t>Khi một cổ đông muốn chuyển nhượng cổ phần, các cổ đông còn lại được quyền ưu tiên mua theo tỷ lệ sở hữu, với cùng mức giá và điều kiện chào bán cho bên thứ ba. Thời hạn thực hiện quyền ưu tiên mua là ...... ngày kể từ ngày nhận thông báo chào bán.</w:t>
      </w:r>
    </w:p>
    <w:p/>
    <w:p>
      <w:pPr>
        <w:spacing w:after="40"/>
      </w:pPr>
      <w:r>
        <w:rPr>
          <w:rFonts w:ascii="Times New Roman" w:hAnsi="Times New Roman"/>
          <w:b/>
          <w:sz w:val="26"/>
        </w:rPr>
        <w:t>Điều 6. Chống pha loãng</w:t>
      </w:r>
    </w:p>
    <w:p>
      <w:pPr>
        <w:spacing w:after="40"/>
      </w:pPr>
      <w:r>
        <w:rPr>
          <w:rFonts w:ascii="Times New Roman" w:hAnsi="Times New Roman"/>
          <w:b w:val="0"/>
          <w:sz w:val="26"/>
        </w:rPr>
        <w:t>Khi công ty phát hành thêm cổ phần, các cổ đông hiện hữu được quyền mua trước theo tỷ lệ sở hữu để duy trì tỷ lệ của mình, theo quy định của Luật Doanh nghiệp và Điều lệ công ty.</w:t>
      </w:r>
    </w:p>
    <w:p/>
    <w:p>
      <w:pPr>
        <w:spacing w:after="40"/>
      </w:pPr>
      <w:r>
        <w:rPr>
          <w:rFonts w:ascii="Times New Roman" w:hAnsi="Times New Roman"/>
          <w:b/>
          <w:sz w:val="26"/>
        </w:rPr>
        <w:t>Điều 7. Giải quyết bế tắc</w:t>
      </w:r>
    </w:p>
    <w:p>
      <w:pPr>
        <w:spacing w:after="40"/>
      </w:pPr>
      <w:r>
        <w:rPr>
          <w:rFonts w:ascii="Times New Roman" w:hAnsi="Times New Roman"/>
          <w:b w:val="0"/>
          <w:sz w:val="26"/>
        </w:rPr>
        <w:t>Trường hợp các cổ đông không đạt được đồng thuận về vấn đề quan trọng dẫn đến bế tắc, các bên áp dụng cơ chế: (a) đưa ra Ban hòa giải nội bộ; (b) thuê bên định giá độc lập; (c) áp dụng quyền mua lại/chào bán cổ phần giữa các cổ đông theo giá xác định; hoặc (d) các phương án khác do các bên thỏa thuận.</w:t>
      </w:r>
    </w:p>
    <w:p/>
    <w:p>
      <w:pPr>
        <w:spacing w:after="40"/>
      </w:pPr>
      <w:r>
        <w:rPr>
          <w:rFonts w:ascii="Times New Roman" w:hAnsi="Times New Roman"/>
          <w:b/>
          <w:sz w:val="26"/>
        </w:rPr>
        <w:t>Điều 8. Hiệu lực, chấm dứt và giải quyết tranh chấp</w:t>
      </w:r>
    </w:p>
    <w:p>
      <w:pPr>
        <w:spacing w:after="40"/>
      </w:pPr>
      <w:r>
        <w:rPr>
          <w:rFonts w:ascii="Times New Roman" w:hAnsi="Times New Roman"/>
          <w:b w:val="0"/>
          <w:sz w:val="26"/>
        </w:rPr>
        <w:t>8.1. Thỏa thuận có hiệu lực kể từ ngày ký và chấm dứt khi: các bên thỏa thuận chấm dứt; một cổ đông không còn sở hữu cổ phần; hoặc công ty chấm dứt hoạt động.</w:t>
      </w:r>
    </w:p>
    <w:p>
      <w:pPr>
        <w:spacing w:after="40"/>
      </w:pPr>
      <w:r>
        <w:rPr>
          <w:rFonts w:ascii="Times New Roman" w:hAnsi="Times New Roman"/>
          <w:b w:val="0"/>
          <w:sz w:val="26"/>
        </w:rPr>
        <w:t>8.2. Thỏa thuận có hiệu lực ràng buộc giữa các cổ đông ký kết nhưng không được trái Điều lệ công ty và quy định pháp luật; phần nào trái thì phần đó vô hiệu.</w:t>
      </w:r>
    </w:p>
    <w:p>
      <w:pPr>
        <w:spacing w:after="40"/>
      </w:pPr>
      <w:r>
        <w:rPr>
          <w:rFonts w:ascii="Times New Roman" w:hAnsi="Times New Roman"/>
          <w:b w:val="0"/>
          <w:sz w:val="26"/>
        </w:rPr>
        <w:t>8.3. Mọi tranh chấp được giải quyết bằng thương lượng; nếu không thành thì khởi kiện tại Tòa án hoặc Trọng tài thương mại có thẩm quyền. Thỏa thuận lập thành ...... bản, mỗi cổ đông giữ 01 bản có giá trị như nhau.</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CỔ ĐÔNG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CỔ ĐÔNG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