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NỘI QUY LAO ĐỘNG</w:t>
      </w:r>
    </w:p>
    <w:p>
      <w:pPr>
        <w:spacing w:after="40"/>
        <w:jc w:val="center"/>
      </w:pPr>
      <w:r>
        <w:rPr>
          <w:rFonts w:ascii="Times New Roman" w:hAnsi="Times New Roman"/>
          <w:b w:val="0"/>
          <w:sz w:val="26"/>
        </w:rPr>
        <w:t>(Ban hành kèm theo Quyết định số ....../QĐ-... ngày ...... tháng ...... năm ......)</w:t>
      </w:r>
    </w:p>
    <w:p/>
    <w:p>
      <w:pPr>
        <w:spacing w:after="40"/>
      </w:pPr>
      <w:r>
        <w:rPr>
          <w:rFonts w:ascii="Times New Roman" w:hAnsi="Times New Roman"/>
          <w:b w:val="0"/>
          <w:sz w:val="26"/>
        </w:rPr>
        <w:t>Tên doanh nghiệp: ................................................</w:t>
      </w:r>
    </w:p>
    <w:p>
      <w:pPr>
        <w:spacing w:after="40"/>
      </w:pPr>
      <w:r>
        <w:rPr>
          <w:rFonts w:ascii="Times New Roman" w:hAnsi="Times New Roman"/>
          <w:b w:val="0"/>
          <w:sz w:val="26"/>
        </w:rPr>
        <w:t>Địa chỉ: ................................................</w:t>
      </w:r>
    </w:p>
    <w:p>
      <w:pPr>
        <w:spacing w:after="40"/>
      </w:pPr>
      <w:r>
        <w:rPr>
          <w:rFonts w:ascii="Times New Roman" w:hAnsi="Times New Roman"/>
          <w:b w:val="0"/>
          <w:sz w:val="26"/>
        </w:rPr>
        <w:t>Căn cứ Bộ luật Lao động 2019 và các văn bản hướng dẫn thi hành;</w:t>
      </w:r>
    </w:p>
    <w:p>
      <w:pPr>
        <w:spacing w:after="40"/>
      </w:pPr>
      <w:r>
        <w:rPr>
          <w:rFonts w:ascii="Times New Roman" w:hAnsi="Times New Roman"/>
          <w:b w:val="0"/>
          <w:sz w:val="26"/>
        </w:rPr>
        <w:t>Căn cứ tình hình tổ chức sản xuất, kinh doanh của doanh nghiệp;</w:t>
      </w:r>
    </w:p>
    <w:p>
      <w:pPr>
        <w:spacing w:after="40"/>
      </w:pPr>
      <w:r>
        <w:rPr>
          <w:rFonts w:ascii="Times New Roman" w:hAnsi="Times New Roman"/>
          <w:b w:val="0"/>
          <w:sz w:val="26"/>
        </w:rPr>
        <w:t>Sau khi tham khảo ý kiến của tổ chức đại diện người lao động tại cơ sở, doanh nghiệp ban hành Nội quy lao động như sau:</w:t>
      </w:r>
    </w:p>
    <w:p/>
    <w:p>
      <w:pPr>
        <w:spacing w:after="40"/>
      </w:pPr>
      <w:r>
        <w:rPr>
          <w:rFonts w:ascii="Times New Roman" w:hAnsi="Times New Roman"/>
          <w:b/>
          <w:sz w:val="26"/>
        </w:rPr>
        <w:t>Chương I. Thời giờ làm việc, thời giờ nghỉ ngơi</w:t>
      </w:r>
    </w:p>
    <w:p>
      <w:pPr>
        <w:spacing w:after="40"/>
      </w:pPr>
      <w:r>
        <w:rPr>
          <w:rFonts w:ascii="Times New Roman" w:hAnsi="Times New Roman"/>
          <w:b w:val="0"/>
          <w:sz w:val="26"/>
        </w:rPr>
        <w:t>Thời giờ làm việc: ...... giờ/ngày, ...... giờ/tuần</w:t>
      </w:r>
    </w:p>
    <w:p>
      <w:pPr>
        <w:spacing w:after="40"/>
      </w:pPr>
      <w:r>
        <w:rPr>
          <w:rFonts w:ascii="Times New Roman" w:hAnsi="Times New Roman"/>
          <w:b w:val="0"/>
          <w:sz w:val="26"/>
        </w:rPr>
        <w:t>Ngày nghỉ hằng tuần: ................................................</w:t>
      </w:r>
    </w:p>
    <w:p>
      <w:pPr>
        <w:spacing w:after="40"/>
      </w:pPr>
      <w:r>
        <w:rPr>
          <w:rFonts w:ascii="Times New Roman" w:hAnsi="Times New Roman"/>
          <w:b w:val="0"/>
          <w:sz w:val="26"/>
        </w:rPr>
        <w:t>Quy định về làm thêm giờ, nghỉ giữa giờ, nghỉ lễ, tết, nghỉ hằng năm và các ngày nghỉ khác theo quy định pháp luật.</w:t>
      </w:r>
    </w:p>
    <w:p/>
    <w:p>
      <w:pPr>
        <w:spacing w:after="40"/>
      </w:pPr>
      <w:r>
        <w:rPr>
          <w:rFonts w:ascii="Times New Roman" w:hAnsi="Times New Roman"/>
          <w:b/>
          <w:sz w:val="26"/>
        </w:rPr>
        <w:t>Chương II. Trật tự tại nơi làm việc</w:t>
      </w:r>
    </w:p>
    <w:p>
      <w:pPr>
        <w:spacing w:after="40"/>
      </w:pPr>
      <w:r>
        <w:rPr>
          <w:rFonts w:ascii="Times New Roman" w:hAnsi="Times New Roman"/>
          <w:b w:val="0"/>
          <w:sz w:val="26"/>
        </w:rPr>
        <w:t>Quy định về tác phong, trang phục, thẻ nhân viên, phạm vi đi lại, ứng xử, việc tiếp khách và sử dụng thời gian làm việc.</w:t>
      </w:r>
    </w:p>
    <w:p/>
    <w:p>
      <w:pPr>
        <w:spacing w:after="40"/>
      </w:pPr>
      <w:r>
        <w:rPr>
          <w:rFonts w:ascii="Times New Roman" w:hAnsi="Times New Roman"/>
          <w:b/>
          <w:sz w:val="26"/>
        </w:rPr>
        <w:t>Chương III. An toàn, vệ sinh lao động</w:t>
      </w:r>
    </w:p>
    <w:p>
      <w:pPr>
        <w:spacing w:after="40"/>
      </w:pPr>
      <w:r>
        <w:rPr>
          <w:rFonts w:ascii="Times New Roman" w:hAnsi="Times New Roman"/>
          <w:b w:val="0"/>
          <w:sz w:val="26"/>
        </w:rPr>
        <w:t>Quy định về chấp hành nội quy, quy trình an toàn; sử dụng phương tiện bảo vệ cá nhân; giữ gìn vệ sinh nơi làm việc; phòng chống cháy nổ.</w:t>
      </w:r>
    </w:p>
    <w:p/>
    <w:p>
      <w:pPr>
        <w:spacing w:after="40"/>
      </w:pPr>
      <w:r>
        <w:rPr>
          <w:rFonts w:ascii="Times New Roman" w:hAnsi="Times New Roman"/>
          <w:b/>
          <w:sz w:val="26"/>
        </w:rPr>
        <w:t>Chương IV. Bảo vệ tài sản và bí mật kinh doanh, bí mật công nghệ</w:t>
      </w:r>
    </w:p>
    <w:p>
      <w:pPr>
        <w:spacing w:after="40"/>
      </w:pPr>
      <w:r>
        <w:rPr>
          <w:rFonts w:ascii="Times New Roman" w:hAnsi="Times New Roman"/>
          <w:b w:val="0"/>
          <w:sz w:val="26"/>
        </w:rPr>
        <w:t>Quy định về bảo vệ tài sản của doanh nghiệp; bảo mật thông tin, bí mật kinh doanh, bí mật công nghệ, quyền sở hữu trí tuệ; trách nhiệm khi làm hư hỏng, mất mát.</w:t>
      </w:r>
    </w:p>
    <w:p/>
    <w:p>
      <w:pPr>
        <w:spacing w:after="40"/>
      </w:pPr>
      <w:r>
        <w:rPr>
          <w:rFonts w:ascii="Times New Roman" w:hAnsi="Times New Roman"/>
          <w:b/>
          <w:sz w:val="26"/>
        </w:rPr>
        <w:t>Chương V. Phòng, chống quấy rối tình dục tại nơi làm việc</w:t>
      </w:r>
    </w:p>
    <w:p>
      <w:pPr>
        <w:spacing w:after="40"/>
      </w:pPr>
      <w:r>
        <w:rPr>
          <w:rFonts w:ascii="Times New Roman" w:hAnsi="Times New Roman"/>
          <w:b w:val="0"/>
          <w:sz w:val="26"/>
        </w:rPr>
        <w:t>Quy định về hành vi bị nghiêm cấm, trình tự, thủ tục xử lý và trách nhiệm của các bên liên quan.</w:t>
      </w:r>
    </w:p>
    <w:p/>
    <w:p>
      <w:pPr>
        <w:spacing w:after="40"/>
      </w:pPr>
      <w:r>
        <w:rPr>
          <w:rFonts w:ascii="Times New Roman" w:hAnsi="Times New Roman"/>
          <w:b/>
          <w:sz w:val="26"/>
        </w:rPr>
        <w:t>Chương VI. Các hành vi vi phạm kỷ luật và hình thức xử lý kỷ luật lao động</w:t>
      </w:r>
    </w:p>
    <w:p>
      <w:pPr>
        <w:spacing w:after="40"/>
      </w:pPr>
      <w:r>
        <w:rPr>
          <w:rFonts w:ascii="Times New Roman" w:hAnsi="Times New Roman"/>
          <w:b w:val="0"/>
          <w:sz w:val="26"/>
        </w:rPr>
        <w:t>Liệt kê cụ thể các hành vi vi phạm và hình thức xử lý tương ứng: khiển trách; kéo dài thời hạn nâng lương không quá 06 tháng; cách chức; sa thải.</w:t>
      </w:r>
    </w:p>
    <w:p>
      <w:pPr>
        <w:spacing w:after="40"/>
      </w:pPr>
      <w:r>
        <w:rPr>
          <w:rFonts w:ascii="Times New Roman" w:hAnsi="Times New Roman"/>
          <w:b w:val="0"/>
          <w:sz w:val="26"/>
        </w:rPr>
        <w:t>Quy định rõ các hành vi bị áp dụng hình thức sa thải theo Điều 125 Bộ luật Lao động 2019.</w:t>
      </w:r>
    </w:p>
    <w:p/>
    <w:p>
      <w:pPr>
        <w:spacing w:after="40"/>
      </w:pPr>
      <w:r>
        <w:rPr>
          <w:rFonts w:ascii="Times New Roman" w:hAnsi="Times New Roman"/>
          <w:b/>
          <w:sz w:val="26"/>
        </w:rPr>
        <w:t>Chương VII. Trách nhiệm vật chất</w:t>
      </w:r>
    </w:p>
    <w:p>
      <w:pPr>
        <w:spacing w:after="40"/>
      </w:pPr>
      <w:r>
        <w:rPr>
          <w:rFonts w:ascii="Times New Roman" w:hAnsi="Times New Roman"/>
          <w:b w:val="0"/>
          <w:sz w:val="26"/>
        </w:rPr>
        <w:t>Quy định các trường hợp bồi thường thiệt hại, mức bồi thường và thủ tục bồi thường khi người lao động làm hư hỏng, mất mát tài sản, thiết bị.</w:t>
      </w:r>
    </w:p>
    <w:p/>
    <w:p>
      <w:pPr>
        <w:spacing w:after="40"/>
      </w:pPr>
      <w:r>
        <w:rPr>
          <w:rFonts w:ascii="Times New Roman" w:hAnsi="Times New Roman"/>
          <w:b/>
          <w:sz w:val="26"/>
        </w:rPr>
        <w:t>Chương VIII. Người có thẩm quyền xử lý kỷ luật lao động</w:t>
      </w:r>
    </w:p>
    <w:p>
      <w:pPr>
        <w:spacing w:after="40"/>
      </w:pPr>
      <w:r>
        <w:rPr>
          <w:rFonts w:ascii="Times New Roman" w:hAnsi="Times New Roman"/>
          <w:b w:val="0"/>
          <w:sz w:val="26"/>
        </w:rPr>
        <w:t>Xác định người có thẩm quyền giao kết hợp đồng lao động bên phía người sử dụng lao động là người có thẩm quyền xử lý kỷ luật lao động.</w:t>
      </w:r>
    </w:p>
    <w:p/>
    <w:p>
      <w:pPr>
        <w:spacing w:after="40"/>
      </w:pPr>
      <w:r>
        <w:rPr>
          <w:rFonts w:ascii="Times New Roman" w:hAnsi="Times New Roman"/>
          <w:b/>
          <w:sz w:val="26"/>
        </w:rPr>
        <w:t>Chương IX. Điều khoản thi hành</w:t>
      </w:r>
    </w:p>
    <w:p>
      <w:pPr>
        <w:spacing w:after="40"/>
      </w:pPr>
      <w:r>
        <w:rPr>
          <w:rFonts w:ascii="Times New Roman" w:hAnsi="Times New Roman"/>
          <w:b w:val="0"/>
          <w:sz w:val="26"/>
        </w:rPr>
        <w:t>Nội quy lao động có hiệu lực sau 15 ngày kể từ ngày cơ quan nhà nước có thẩm quyền nhận được đầy đủ hồ sơ đăng ký. Toàn thể người lao động có trách nhiệm thực hiện.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NƠI NHẬN:</w:t>
            </w:r>
          </w:p>
          <w:p>
            <w:pPr>
              <w:spacing w:after="0"/>
              <w:jc w:val="center"/>
            </w:pPr>
            <w:r>
              <w:rPr>
                <w:rFonts w:ascii="Times New Roman" w:hAnsi="Times New Roman"/>
                <w:b/>
                <w:sz w:val="26"/>
              </w:rPr>
              <w:t>- Cơ quan quản lý lao động;</w:t>
            </w:r>
          </w:p>
          <w:p>
            <w:pPr>
              <w:spacing w:after="0"/>
              <w:jc w:val="center"/>
            </w:pPr>
            <w:r>
              <w:rPr>
                <w:rFonts w:ascii="Times New Roman" w:hAnsi="Times New Roman"/>
                <w:b w:val="0"/>
                <w:sz w:val="26"/>
              </w:rPr>
              <w:t>- Lưu.</w:t>
            </w:r>
          </w:p>
        </w:tc>
        <w:tc>
          <w:tcPr>
            <w:tcW w:type="dxa" w:w="4320"/>
          </w:tcPr>
          <w:p>
            <w:pPr>
              <w:spacing w:after="0"/>
              <w:jc w:val="center"/>
            </w:pPr>
            <w:r>
              <w:rPr>
                <w:rFonts w:ascii="Times New Roman" w:hAnsi="Times New Roman"/>
                <w:b w:val="0"/>
                <w:sz w:val="26"/>
              </w:rPr>
              <w:t>NGƯỜI SỬ DỤNG LAO ĐỘNG</w:t>
            </w:r>
          </w:p>
          <w:p>
            <w:pPr>
              <w:spacing w:after="0"/>
              <w:jc w:val="center"/>
            </w:pPr>
            <w:r>
              <w:rPr>
                <w:rFonts w:ascii="Times New Roman" w:hAnsi="Times New Roman"/>
                <w:b/>
                <w:sz w:val="26"/>
              </w:rPr>
              <w:t>(Ký, đóng dấu,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