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ĐIỀU LỆ</w:t>
      </w:r>
    </w:p>
    <w:p>
      <w:pPr>
        <w:spacing w:after="40"/>
        <w:jc w:val="center"/>
      </w:pPr>
      <w:r>
        <w:rPr>
          <w:rFonts w:ascii="Times New Roman" w:hAnsi="Times New Roman"/>
          <w:b/>
          <w:sz w:val="26"/>
        </w:rPr>
        <w:t>CÔNG TY TRÁCH NHIỆM HỮU HẠN ......................</w:t>
      </w:r>
    </w:p>
    <w:p/>
    <w:p>
      <w:pPr>
        <w:spacing w:after="40"/>
      </w:pPr>
      <w:r>
        <w:rPr>
          <w:rFonts w:ascii="Times New Roman" w:hAnsi="Times New Roman"/>
          <w:b w:val="0"/>
          <w:sz w:val="26"/>
        </w:rPr>
        <w:t>Điều lệ này được các thành viên/chủ sở hữu công ty cùng nhau thông qua và cam kết thực hiện, nhằm quy định về tổ chức và hoạt động của công ty.</w:t>
      </w:r>
    </w:p>
    <w:p/>
    <w:p>
      <w:pPr>
        <w:spacing w:after="40"/>
      </w:pPr>
      <w:r>
        <w:rPr>
          <w:rFonts w:ascii="Times New Roman" w:hAnsi="Times New Roman"/>
          <w:b/>
          <w:sz w:val="26"/>
        </w:rPr>
        <w:t>CHƯƠNG I. QUY ĐỊNH CHUNG</w:t>
      </w:r>
    </w:p>
    <w:p>
      <w:pPr>
        <w:spacing w:after="40"/>
      </w:pPr>
      <w:r>
        <w:rPr>
          <w:rFonts w:ascii="Times New Roman" w:hAnsi="Times New Roman"/>
          <w:b/>
          <w:sz w:val="26"/>
        </w:rPr>
        <w:t>Điều 1. Tên và trụ sở công ty</w:t>
      </w:r>
    </w:p>
    <w:p>
      <w:pPr>
        <w:spacing w:after="40"/>
      </w:pPr>
      <w:r>
        <w:rPr>
          <w:rFonts w:ascii="Times New Roman" w:hAnsi="Times New Roman"/>
          <w:b w:val="0"/>
          <w:sz w:val="26"/>
        </w:rPr>
        <w:t xml:space="preserve">Tên tiếng Việt: CÔNG TY TRÁCH NHIỆM HỮU HẠN </w:t>
      </w:r>
    </w:p>
    <w:p>
      <w:pPr>
        <w:spacing w:after="40"/>
      </w:pPr>
      <w:r>
        <w:rPr>
          <w:rFonts w:ascii="Times New Roman" w:hAnsi="Times New Roman"/>
          <w:b w:val="0"/>
          <w:sz w:val="26"/>
        </w:rPr>
        <w:t xml:space="preserve">Tên viết tắt: </w:t>
      </w:r>
    </w:p>
    <w:p>
      <w:pPr>
        <w:spacing w:after="40"/>
      </w:pPr>
      <w:r>
        <w:rPr>
          <w:rFonts w:ascii="Times New Roman" w:hAnsi="Times New Roman"/>
          <w:b w:val="0"/>
          <w:sz w:val="26"/>
        </w:rPr>
        <w:t xml:space="preserve">Địa chỉ trụ sở chính: </w:t>
      </w:r>
    </w:p>
    <w:p>
      <w:pPr>
        <w:spacing w:after="40"/>
      </w:pPr>
      <w:r>
        <w:rPr>
          <w:rFonts w:ascii="Times New Roman" w:hAnsi="Times New Roman"/>
          <w:b w:val="0"/>
          <w:sz w:val="26"/>
        </w:rPr>
        <w:t xml:space="preserve">Điện thoại: </w:t>
      </w:r>
    </w:p>
    <w:p>
      <w:pPr>
        <w:spacing w:after="40"/>
      </w:pPr>
      <w:r>
        <w:rPr>
          <w:rFonts w:ascii="Times New Roman" w:hAnsi="Times New Roman"/>
          <w:b w:val="0"/>
          <w:sz w:val="26"/>
        </w:rPr>
        <w:t xml:space="preserve">Email: </w:t>
      </w:r>
    </w:p>
    <w:p>
      <w:pPr>
        <w:spacing w:after="40"/>
      </w:pPr>
      <w:r>
        <w:rPr>
          <w:rFonts w:ascii="Times New Roman" w:hAnsi="Times New Roman"/>
          <w:b/>
          <w:sz w:val="26"/>
        </w:rPr>
        <w:t>Điều 2. Ngành, nghề kinh doanh</w:t>
      </w:r>
    </w:p>
    <w:p>
      <w:pPr>
        <w:spacing w:after="40"/>
      </w:pPr>
      <w:r>
        <w:rPr>
          <w:rFonts w:ascii="Times New Roman" w:hAnsi="Times New Roman"/>
          <w:b w:val="0"/>
          <w:sz w:val="26"/>
        </w:rPr>
        <w:t>Công ty được quyền kinh doanh các ngành, nghề mà pháp luật không cấm, cụ thể như sau:</w:t>
      </w:r>
    </w:p>
    <w:p>
      <w:pPr>
        <w:spacing w:after="40"/>
      </w:pPr>
      <w:r>
        <w:rPr>
          <w:rFonts w:ascii="Times New Roman" w:hAnsi="Times New Roman"/>
          <w:b w:val="0"/>
          <w:sz w:val="26"/>
        </w:rPr>
        <w:t xml:space="preserve">1. </w:t>
      </w:r>
    </w:p>
    <w:p>
      <w:pPr>
        <w:spacing w:after="40"/>
      </w:pPr>
      <w:r>
        <w:rPr>
          <w:rFonts w:ascii="Times New Roman" w:hAnsi="Times New Roman"/>
          <w:b w:val="0"/>
          <w:sz w:val="26"/>
        </w:rPr>
        <w:t xml:space="preserve">2. </w:t>
      </w:r>
    </w:p>
    <w:p>
      <w:pPr>
        <w:spacing w:after="40"/>
      </w:pPr>
      <w:r>
        <w:rPr>
          <w:rFonts w:ascii="Times New Roman" w:hAnsi="Times New Roman"/>
          <w:b w:val="0"/>
          <w:sz w:val="26"/>
        </w:rPr>
        <w:t xml:space="preserve">3. </w:t>
      </w:r>
    </w:p>
    <w:p>
      <w:pPr>
        <w:spacing w:after="40"/>
      </w:pPr>
      <w:r>
        <w:rPr>
          <w:rFonts w:ascii="Times New Roman" w:hAnsi="Times New Roman"/>
          <w:b w:val="0"/>
          <w:sz w:val="26"/>
        </w:rPr>
        <w:t>Đối với ngành, nghề đầu tư kinh doanh có điều kiện, công ty chỉ kinh doanh khi đáp ứng đủ điều kiện theo quy định của pháp luật.</w:t>
      </w:r>
    </w:p>
    <w:p>
      <w:pPr>
        <w:spacing w:after="40"/>
      </w:pPr>
      <w:r>
        <w:rPr>
          <w:rFonts w:ascii="Times New Roman" w:hAnsi="Times New Roman"/>
          <w:b/>
          <w:sz w:val="26"/>
        </w:rPr>
        <w:t>Điều 3. Vốn điều lệ</w:t>
      </w:r>
    </w:p>
    <w:p>
      <w:pPr>
        <w:spacing w:after="40"/>
      </w:pPr>
      <w:r>
        <w:rPr>
          <w:rFonts w:ascii="Times New Roman" w:hAnsi="Times New Roman"/>
          <w:b w:val="0"/>
          <w:sz w:val="26"/>
        </w:rPr>
        <w:t xml:space="preserve">Vốn điều lệ của công ty là: ....................... đồng (bằng chữ: </w:t>
      </w:r>
    </w:p>
    <w:p>
      <w:pPr>
        <w:spacing w:after="40"/>
      </w:pPr>
      <w:r>
        <w:rPr>
          <w:rFonts w:ascii="Times New Roman" w:hAnsi="Times New Roman"/>
          <w:b w:val="0"/>
          <w:sz w:val="26"/>
        </w:rPr>
        <w:t>Thời hạn góp vốn: các thành viên/chủ sở hữu phải góp đủ và đúng loại tài sản đã cam kết trong thời hạn 90 ngày kể từ ngày được cấp Giấy chứng nhận đăng ký doanh nghiệp.</w:t>
      </w:r>
    </w:p>
    <w:p/>
    <w:p>
      <w:pPr>
        <w:spacing w:after="40"/>
      </w:pPr>
      <w:r>
        <w:rPr>
          <w:rFonts w:ascii="Times New Roman" w:hAnsi="Times New Roman"/>
          <w:b/>
          <w:sz w:val="26"/>
        </w:rPr>
        <w:t>CHƯƠNG II. THÀNH VIÊN / CHỦ SỞ HỮU</w:t>
      </w:r>
    </w:p>
    <w:p>
      <w:pPr>
        <w:spacing w:after="40"/>
      </w:pPr>
      <w:r>
        <w:rPr>
          <w:rFonts w:ascii="Times New Roman" w:hAnsi="Times New Roman"/>
          <w:b/>
          <w:sz w:val="26"/>
        </w:rPr>
        <w:t>Điều 4. Thông tin thành viên / chủ sở hữu và tỷ lệ góp vốn</w:t>
      </w:r>
    </w:p>
    <w:p>
      <w:pPr>
        <w:spacing w:after="40"/>
      </w:pPr>
      <w:r>
        <w:rPr>
          <w:rFonts w:ascii="Times New Roman" w:hAnsi="Times New Roman"/>
          <w:b w:val="0"/>
          <w:sz w:val="26"/>
        </w:rPr>
        <w:t xml:space="preserve">Họ và tên / Tên tổ chức: </w:t>
      </w:r>
    </w:p>
    <w:p>
      <w:pPr>
        <w:spacing w:after="40"/>
      </w:pPr>
      <w:r>
        <w:rPr>
          <w:rFonts w:ascii="Times New Roman" w:hAnsi="Times New Roman"/>
          <w:b w:val="0"/>
          <w:sz w:val="26"/>
        </w:rPr>
        <w:t xml:space="preserve">Số giấy tờ pháp lý: </w:t>
      </w:r>
    </w:p>
    <w:p>
      <w:pPr>
        <w:spacing w:after="40"/>
      </w:pPr>
      <w:r>
        <w:rPr>
          <w:rFonts w:ascii="Times New Roman" w:hAnsi="Times New Roman"/>
          <w:b w:val="0"/>
          <w:sz w:val="26"/>
        </w:rPr>
        <w:t xml:space="preserve">Địa chỉ liên lạc / trụ sở: </w:t>
      </w:r>
    </w:p>
    <w:p>
      <w:pPr>
        <w:spacing w:after="40"/>
      </w:pPr>
      <w:r>
        <w:rPr>
          <w:rFonts w:ascii="Times New Roman" w:hAnsi="Times New Roman"/>
          <w:b w:val="0"/>
          <w:sz w:val="26"/>
        </w:rPr>
        <w:t>Giá trị phần vốn góp: ....................... đồng, chiếm tỷ lệ: ....................... %</w:t>
      </w:r>
    </w:p>
    <w:p>
      <w:pPr>
        <w:spacing w:after="40"/>
      </w:pPr>
      <w:r>
        <w:rPr>
          <w:rFonts w:ascii="Times New Roman" w:hAnsi="Times New Roman"/>
          <w:b w:val="0"/>
          <w:sz w:val="26"/>
        </w:rPr>
        <w:t>(Đối với công ty hai thành viên trở lên, lập bảng liệt kê đầy đủ từng thành viên và tỷ lệ vốn góp tương ứng.)</w:t>
      </w:r>
    </w:p>
    <w:p>
      <w:pPr>
        <w:spacing w:after="40"/>
      </w:pPr>
      <w:r>
        <w:rPr>
          <w:rFonts w:ascii="Times New Roman" w:hAnsi="Times New Roman"/>
          <w:b/>
          <w:sz w:val="26"/>
        </w:rPr>
        <w:t>Điều 5. Quyền và nghĩa vụ của thành viên / chủ sở hữu</w:t>
      </w:r>
    </w:p>
    <w:p>
      <w:pPr>
        <w:spacing w:after="40"/>
      </w:pPr>
      <w:r>
        <w:rPr>
          <w:rFonts w:ascii="Times New Roman" w:hAnsi="Times New Roman"/>
          <w:b w:val="0"/>
          <w:sz w:val="26"/>
        </w:rPr>
        <w:t>Thành viên/chủ sở hữu có các quyền và nghĩa vụ theo quy định của Luật Doanh nghiệp và Điều lệ này, bao gồm quyền tham gia quản lý, biểu quyết, được chia lợi nhuận tương ứng phần vốn góp và nghĩa vụ góp đủ vốn, chịu trách nhiệm về các khoản nợ trong phạm vi vốn đã góp.</w:t>
      </w:r>
    </w:p>
    <w:p/>
    <w:p>
      <w:pPr>
        <w:spacing w:after="40"/>
      </w:pPr>
      <w:r>
        <w:rPr>
          <w:rFonts w:ascii="Times New Roman" w:hAnsi="Times New Roman"/>
          <w:b/>
          <w:sz w:val="26"/>
        </w:rPr>
        <w:t>CHƯƠNG III. CƠ CẤU TỔ CHỨC QUẢN LÝ</w:t>
      </w:r>
    </w:p>
    <w:p>
      <w:pPr>
        <w:spacing w:after="40"/>
      </w:pPr>
      <w:r>
        <w:rPr>
          <w:rFonts w:ascii="Times New Roman" w:hAnsi="Times New Roman"/>
          <w:b/>
          <w:sz w:val="26"/>
        </w:rPr>
        <w:t>Điều 6. Cơ cấu tổ chức</w:t>
      </w:r>
    </w:p>
    <w:p>
      <w:pPr>
        <w:spacing w:after="40"/>
      </w:pPr>
      <w:r>
        <w:rPr>
          <w:rFonts w:ascii="Times New Roman" w:hAnsi="Times New Roman"/>
          <w:b w:val="0"/>
          <w:sz w:val="26"/>
        </w:rPr>
        <w:t>Công ty TNHH hai thành viên trở lên có Hội đồng thành viên, Chủ tịch Hội đồng thành viên, Giám đốc hoặc Tổng giám đốc. Công ty TNHH một thành viên do tổ chức làm chủ sở hữu tổ chức quản lý theo một trong hai mô hình luật định; do cá nhân làm chủ sở hữu có Chủ tịch công ty, Giám đốc hoặc Tổng giám đốc.</w:t>
      </w:r>
    </w:p>
    <w:p>
      <w:pPr>
        <w:spacing w:after="40"/>
      </w:pPr>
      <w:r>
        <w:rPr>
          <w:rFonts w:ascii="Times New Roman" w:hAnsi="Times New Roman"/>
          <w:b/>
          <w:sz w:val="26"/>
        </w:rPr>
        <w:t>Điều 7. Người đại diện theo pháp luật</w:t>
      </w:r>
    </w:p>
    <w:p>
      <w:pPr>
        <w:spacing w:after="40"/>
      </w:pPr>
      <w:r>
        <w:rPr>
          <w:rFonts w:ascii="Times New Roman" w:hAnsi="Times New Roman"/>
          <w:b w:val="0"/>
          <w:sz w:val="26"/>
        </w:rPr>
        <w:t xml:space="preserve">Họ và tên: </w:t>
      </w:r>
    </w:p>
    <w:p>
      <w:pPr>
        <w:spacing w:after="40"/>
      </w:pPr>
      <w:r>
        <w:rPr>
          <w:rFonts w:ascii="Times New Roman" w:hAnsi="Times New Roman"/>
          <w:b w:val="0"/>
          <w:sz w:val="26"/>
        </w:rPr>
        <w:t xml:space="preserve">Chức danh: </w:t>
      </w:r>
    </w:p>
    <w:p>
      <w:pPr>
        <w:spacing w:after="40"/>
      </w:pPr>
      <w:r>
        <w:rPr>
          <w:rFonts w:ascii="Times New Roman" w:hAnsi="Times New Roman"/>
          <w:b w:val="0"/>
          <w:sz w:val="26"/>
        </w:rPr>
        <w:t xml:space="preserve">Số giấy tờ pháp lý: </w:t>
      </w:r>
    </w:p>
    <w:p>
      <w:pPr>
        <w:spacing w:after="40"/>
      </w:pPr>
      <w:r>
        <w:rPr>
          <w:rFonts w:ascii="Times New Roman" w:hAnsi="Times New Roman"/>
          <w:b w:val="0"/>
          <w:sz w:val="26"/>
        </w:rPr>
        <w:t>Người đại diện theo pháp luật của công ty phải cư trú tại Việt Nam; khi xuất cảnh khỏi Việt Nam phải ủy quyền bằng văn bản cho người khác thực hiện quyền và nghĩa vụ.</w:t>
      </w:r>
    </w:p>
    <w:p/>
    <w:p>
      <w:pPr>
        <w:spacing w:after="40"/>
      </w:pPr>
      <w:r>
        <w:rPr>
          <w:rFonts w:ascii="Times New Roman" w:hAnsi="Times New Roman"/>
          <w:b/>
          <w:sz w:val="26"/>
        </w:rPr>
        <w:t>CHƯƠNG IV. TÀI CHÍNH VÀ PHÂN CHIA LỢI NHUẬN</w:t>
      </w:r>
    </w:p>
    <w:p>
      <w:pPr>
        <w:spacing w:after="40"/>
      </w:pPr>
      <w:r>
        <w:rPr>
          <w:rFonts w:ascii="Times New Roman" w:hAnsi="Times New Roman"/>
          <w:b/>
          <w:sz w:val="26"/>
        </w:rPr>
        <w:t>Điều 8. Nguyên tắc phân chia lợi nhuận và xử lý lỗ</w:t>
      </w:r>
    </w:p>
    <w:p>
      <w:pPr>
        <w:spacing w:after="40"/>
      </w:pPr>
      <w:r>
        <w:rPr>
          <w:rFonts w:ascii="Times New Roman" w:hAnsi="Times New Roman"/>
          <w:b w:val="0"/>
          <w:sz w:val="26"/>
        </w:rPr>
        <w:t>Lợi nhuận sau khi hoàn thành nghĩa vụ thuế và các nghĩa vụ tài chính khác được chia cho các thành viên tương ứng với phần vốn góp; công ty chỉ được chia lợi nhuận khi bảo đảm thanh toán đủ các khoản nợ và nghĩa vụ tài sản đến hạn sau khi chia.</w:t>
      </w:r>
    </w:p>
    <w:p/>
    <w:p>
      <w:pPr>
        <w:spacing w:after="40"/>
      </w:pPr>
      <w:r>
        <w:rPr>
          <w:rFonts w:ascii="Times New Roman" w:hAnsi="Times New Roman"/>
          <w:b/>
          <w:sz w:val="26"/>
        </w:rPr>
        <w:t>CHƯƠNG V. GIẢI THỂ VÀ ĐIỀU KHOẢN THI HÀNH</w:t>
      </w:r>
    </w:p>
    <w:p>
      <w:pPr>
        <w:spacing w:after="40"/>
      </w:pPr>
      <w:r>
        <w:rPr>
          <w:rFonts w:ascii="Times New Roman" w:hAnsi="Times New Roman"/>
          <w:b/>
          <w:sz w:val="26"/>
        </w:rPr>
        <w:t>Điều 9. Giải thể và thanh lý tài sản</w:t>
      </w:r>
    </w:p>
    <w:p>
      <w:pPr>
        <w:spacing w:after="40"/>
      </w:pPr>
      <w:r>
        <w:rPr>
          <w:rFonts w:ascii="Times New Roman" w:hAnsi="Times New Roman"/>
          <w:b w:val="0"/>
          <w:sz w:val="26"/>
        </w:rPr>
        <w:t>Công ty giải thể trong các trường hợp theo quy định của Luật Doanh nghiệp. Trình tự, thủ tục giải thể và thanh lý tài sản thực hiện theo quy định của pháp luật.</w:t>
      </w:r>
    </w:p>
    <w:p>
      <w:pPr>
        <w:spacing w:after="40"/>
      </w:pPr>
      <w:r>
        <w:rPr>
          <w:rFonts w:ascii="Times New Roman" w:hAnsi="Times New Roman"/>
          <w:b/>
          <w:sz w:val="26"/>
        </w:rPr>
        <w:t>Điều 10. Hiệu lực thi hành</w:t>
      </w:r>
    </w:p>
    <w:p>
      <w:pPr>
        <w:spacing w:after="40"/>
      </w:pPr>
      <w:r>
        <w:rPr>
          <w:rFonts w:ascii="Times New Roman" w:hAnsi="Times New Roman"/>
          <w:b w:val="0"/>
          <w:sz w:val="26"/>
        </w:rPr>
        <w:t>Điều lệ này gồm ...... chương, ...... điều, có hiệu lực kể từ ngày được các thành viên/chủ sở hữu ký thông qua. Mọi thành viên có nghĩa vụ thi hành.</w:t>
      </w:r>
    </w:p>
    <w:p/>
    <w:p>
      <w:pPr>
        <w:spacing w:after="40"/>
      </w:pPr>
      <w:r>
        <w:rPr>
          <w:rFonts w:ascii="Times New Roman" w:hAnsi="Times New Roman"/>
          <w:b w:val="0"/>
          <w:sz w:val="26"/>
        </w:rPr>
        <w:t>...................., ngày ...... tháng ...... năm 20......</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CÁC THÀNH VIÊN GÓP VỐN</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NGƯỜI ĐẠI DIỆN THEO PHÁP LUẬT</w:t>
            </w:r>
          </w:p>
          <w:p>
            <w:pPr>
              <w:spacing w:after="0"/>
              <w:jc w:val="center"/>
            </w:pPr>
            <w:r>
              <w:rPr>
                <w:rFonts w:ascii="Times New Roman" w:hAnsi="Times New Roman"/>
                <w:b/>
                <w:sz w:val="26"/>
              </w:rPr>
              <w:t>(Ký, ghi rõ họ tên, đóng dấu)</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